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2%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a majority of states allow a deduction for Federal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2019 Federal income tax return on March 4, 2020. The return reflects an overpayment of $6,000, and the taxpayer requests a refund of this amount. The refund is paid on May 16, 2020.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They want to make gifts to their four children in 2020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Index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2020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2020).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2020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2020,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1989, Roy leased real estate to Drab Corporation for 20 years. Drab Corporation made significant capital improvements to the property. In 2008, Drab decided not to renew the lease and vacated the property. At that time, the value of the improvements was $800,000. Roy sells the real estate in 2020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2020).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2018, Deborah became 65 years old. In 2019 she added a swimming pool and in 2020 she converted the residence to rental property and moved into an assisted living facility. Since 2017,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2018 when Deborah reached age 65. The increases probably occurred in 2019 when she added the pool and in 2020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Logan dies with an estate worth $20 million. Under his will, $10 million passes to his wife and $10 million goes to his church. What is Logan’s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Logan’s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2020,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Appeals Division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2020. In reviewing her 2019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2019 correcting the error. If she refuses, you should assess the gravity of the error and how it impacts on your ability to file an accurate return for 2020.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that she will be audited regardless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Taxation and Understanding the Federal Tax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