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C97" w:rsidRPr="00052115" w:rsidRDefault="00676631" w:rsidP="0005211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52115">
        <w:rPr>
          <w:rFonts w:ascii="Times New Roman" w:hAnsi="Times New Roman" w:cs="Times New Roman"/>
          <w:b/>
          <w:sz w:val="24"/>
          <w:szCs w:val="24"/>
        </w:rPr>
        <w:t>Chapter 2</w:t>
      </w:r>
      <w:r w:rsidR="00274C97" w:rsidRPr="00052115">
        <w:rPr>
          <w:rFonts w:ascii="Times New Roman" w:hAnsi="Times New Roman" w:cs="Times New Roman"/>
          <w:b/>
          <w:sz w:val="24"/>
          <w:szCs w:val="24"/>
        </w:rPr>
        <w:t>:</w:t>
      </w:r>
      <w:r w:rsidR="00274C97" w:rsidRPr="0005211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274C97" w:rsidRPr="00052115">
        <w:rPr>
          <w:rFonts w:ascii="Times New Roman" w:hAnsi="Times New Roman" w:cs="Times New Roman"/>
          <w:b/>
          <w:sz w:val="24"/>
          <w:szCs w:val="24"/>
          <w:lang w:val="en-US"/>
        </w:rPr>
        <w:t>Conceptual Framework for Financial Reporting</w:t>
      </w:r>
    </w:p>
    <w:p w:rsidR="00274C97" w:rsidRPr="00052115" w:rsidRDefault="00274C97" w:rsidP="000521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76631" w:rsidRPr="00052115" w:rsidRDefault="00676631" w:rsidP="000521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5211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Questions</w:t>
      </w:r>
    </w:p>
    <w:p w:rsidR="002D160D" w:rsidRPr="00052115" w:rsidRDefault="002D160D" w:rsidP="000521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76631" w:rsidRPr="00052115" w:rsidRDefault="00676631" w:rsidP="00740CCA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Which of the following parties is </w:t>
      </w:r>
      <w:r w:rsidRPr="000521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not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considered a primary user of the financial statements?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 w:hanging="45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Existing investors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 w:hanging="45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Lenders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 w:hanging="45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Other creditors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 w:hanging="45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Potential investors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 w:hanging="45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All of the above are considered primary users of the financial statements</w:t>
      </w:r>
    </w:p>
    <w:p w:rsidR="00676631" w:rsidRPr="00052115" w:rsidRDefault="00676631" w:rsidP="00052115">
      <w:pPr>
        <w:spacing w:after="0"/>
        <w:ind w:left="117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76631" w:rsidRPr="00052115" w:rsidRDefault="00676631" w:rsidP="00740CCA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Which of the following is </w:t>
      </w:r>
      <w:r w:rsidRPr="00052115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not</w:t>
      </w:r>
      <w:r w:rsidRPr="000521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one of the characteristics necessary for information to be considered faithfully represented?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Complete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Neutral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Verifiable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Free from error</w:t>
      </w:r>
    </w:p>
    <w:p w:rsidR="00676631" w:rsidRPr="00052115" w:rsidRDefault="00676631" w:rsidP="00052115">
      <w:pPr>
        <w:spacing w:after="0"/>
        <w:ind w:left="117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76631" w:rsidRPr="00052115" w:rsidRDefault="00676631" w:rsidP="00740CCA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Information that contains all of the enhancing qualitative characteristics is considered useful as long as it also contains one of the fundamental qualitative characteristics.</w:t>
      </w:r>
    </w:p>
    <w:p w:rsidR="00676631" w:rsidRPr="00052115" w:rsidRDefault="00676631" w:rsidP="00740CCA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76631" w:rsidRPr="00052115" w:rsidRDefault="00676631" w:rsidP="00740CCA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The IASB places more authority on its current framework than the FASB places on its current framework.</w:t>
      </w:r>
    </w:p>
    <w:p w:rsidR="00676631" w:rsidRPr="00052115" w:rsidRDefault="00676631" w:rsidP="00740CCA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76631" w:rsidRPr="00052115" w:rsidRDefault="00676631" w:rsidP="00740CCA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Which of the following constraints did the Boards acknowledge in regards to useful information?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Time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Projections and estimates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Complexity</w:t>
      </w:r>
    </w:p>
    <w:p w:rsidR="00676631" w:rsidRPr="00052115" w:rsidRDefault="00676631" w:rsidP="00740CCA">
      <w:pPr>
        <w:numPr>
          <w:ilvl w:val="1"/>
          <w:numId w:val="1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Cost</w:t>
      </w:r>
    </w:p>
    <w:p w:rsidR="00676631" w:rsidRPr="00052115" w:rsidRDefault="00676631" w:rsidP="00052115">
      <w:pPr>
        <w:spacing w:after="0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76631" w:rsidRPr="00052115" w:rsidRDefault="00740CCA" w:rsidP="0005211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Exercises</w:t>
      </w:r>
    </w:p>
    <w:p w:rsidR="00676631" w:rsidRPr="00052115" w:rsidRDefault="00676631" w:rsidP="00740CCA">
      <w:pPr>
        <w:numPr>
          <w:ilvl w:val="0"/>
          <w:numId w:val="3"/>
        </w:num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Using the definition of and three features of a reporting entity as described by the Boards, determine whether or not a reporting entity exists in each of the following scenarios.</w:t>
      </w:r>
    </w:p>
    <w:p w:rsidR="00676631" w:rsidRPr="00052115" w:rsidRDefault="00740CCA" w:rsidP="00740CCA">
      <w:pPr>
        <w:numPr>
          <w:ilvl w:val="1"/>
          <w:numId w:val="3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Granny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manufactures rocking chairs and sells them at retail stores throughout the nation. Any scrap wood left from its manufacturing process is sold to Camping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as firewood.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Granny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has been contacted by multiple potential investors, particularly Scrap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who are interested in investing in the activity of selling the scrap wood.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Granny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needs to determine if the process of selling scrap wood would be considered a reporting entity.</w:t>
      </w:r>
    </w:p>
    <w:p w:rsidR="00676631" w:rsidRPr="00052115" w:rsidRDefault="00676631" w:rsidP="00740CCA">
      <w:pPr>
        <w:numPr>
          <w:ilvl w:val="1"/>
          <w:numId w:val="3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Manufacturing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makes bikes and sells them to retailers. Manufacturing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purchases tires for its bikes from Rubber Company. Rubber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Entity’s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only customer is Manufacturing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Rubber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needs to determine if its financial dependence on Manufacturing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prevents it from being a reporting entity.</w:t>
      </w:r>
    </w:p>
    <w:p w:rsidR="00676631" w:rsidRPr="00052115" w:rsidRDefault="00676631" w:rsidP="00740CCA">
      <w:pPr>
        <w:numPr>
          <w:ilvl w:val="1"/>
          <w:numId w:val="3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Frame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manufactures custom frames that it sells to its online customers. The manufacturing process is divided into two sub-processes: cutting and assembling the wood into a frame and cutting the glass and preparing it for use in the frame. Frame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does not sell frames without glass or vice versa. Are the two sub-processes separate reporting entities? </w:t>
      </w:r>
    </w:p>
    <w:p w:rsidR="00676631" w:rsidRPr="00052115" w:rsidRDefault="00676631" w:rsidP="00052115">
      <w:pPr>
        <w:spacing w:after="0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76631" w:rsidRPr="00052115" w:rsidRDefault="00676631" w:rsidP="00740CCA">
      <w:pPr>
        <w:numPr>
          <w:ilvl w:val="0"/>
          <w:numId w:val="3"/>
        </w:num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In each of the following situations, decide whether the two criteria for recognition in the financial statements have been met.</w:t>
      </w:r>
    </w:p>
    <w:p w:rsidR="00676631" w:rsidRPr="00052115" w:rsidRDefault="00740CCA" w:rsidP="00740CCA">
      <w:pPr>
        <w:numPr>
          <w:ilvl w:val="1"/>
          <w:numId w:val="3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Money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decides to buy lottery tickets.  If they pick the winning ticket, they will receive $10 million.  Should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Money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recognize an asset?</w:t>
      </w:r>
    </w:p>
    <w:p w:rsidR="00676631" w:rsidRPr="00052115" w:rsidRDefault="00676631" w:rsidP="00740CCA">
      <w:pPr>
        <w:numPr>
          <w:ilvl w:val="1"/>
          <w:numId w:val="3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Because of the installation of an environmentally friendly manufacturing facility, the federal government is obligated to give $1 million to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Nolan 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the form of a grant.  Should </w:t>
      </w:r>
      <w:r w:rsidR="00740CCA">
        <w:rPr>
          <w:rFonts w:ascii="Times New Roman" w:eastAsia="Calibri" w:hAnsi="Times New Roman" w:cs="Times New Roman"/>
          <w:sz w:val="24"/>
          <w:szCs w:val="24"/>
          <w:lang w:val="en-US"/>
        </w:rPr>
        <w:t>Nolan Entity</w:t>
      </w:r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recogn</w:t>
      </w:r>
      <w:bookmarkStart w:id="0" w:name="_GoBack"/>
      <w:bookmarkEnd w:id="0"/>
      <w:r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>ize an asset?</w:t>
      </w:r>
    </w:p>
    <w:p w:rsidR="00676631" w:rsidRPr="00052115" w:rsidRDefault="00740CCA" w:rsidP="00740CCA">
      <w:pPr>
        <w:numPr>
          <w:ilvl w:val="1"/>
          <w:numId w:val="3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Plin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has spent a lot of money on employee training programs that have led to increased productivity and have improved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Plin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’s bottom line.  Should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Plin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recognize an asset related to the well-trained employees?</w:t>
      </w:r>
    </w:p>
    <w:p w:rsidR="00676631" w:rsidRPr="00052115" w:rsidRDefault="00740CCA" w:rsidP="00740CCA">
      <w:pPr>
        <w:numPr>
          <w:ilvl w:val="1"/>
          <w:numId w:val="3"/>
        </w:numPr>
        <w:spacing w:after="0"/>
        <w:ind w:left="81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Reedy Entity</w:t>
      </w:r>
      <w:r w:rsidR="00676631" w:rsidRPr="000521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purchased inventory on credit.  Should the payable be recognized as a liability?</w:t>
      </w:r>
    </w:p>
    <w:p w:rsidR="00676631" w:rsidRPr="00052115" w:rsidRDefault="00676631" w:rsidP="00052115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D160D" w:rsidRPr="00052115" w:rsidRDefault="00740CCA" w:rsidP="0005211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Writing Assignment</w:t>
      </w:r>
    </w:p>
    <w:p w:rsidR="00676631" w:rsidRPr="00052115" w:rsidRDefault="00676631" w:rsidP="00740CC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Write a summary of the current status of the </w:t>
      </w:r>
      <w:r w:rsidRPr="0005211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Conceptual Framework</w:t>
      </w:r>
      <w:r w:rsidRPr="000521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Project. The summary should be no longer than three pages.</w:t>
      </w:r>
    </w:p>
    <w:p w:rsidR="00676631" w:rsidRPr="00052115" w:rsidRDefault="00676631" w:rsidP="00740CCA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76631" w:rsidRPr="00052115" w:rsidRDefault="00676631" w:rsidP="00740CC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52115">
        <w:rPr>
          <w:rFonts w:ascii="Times New Roman" w:eastAsia="Times New Roman" w:hAnsi="Times New Roman" w:cs="Times New Roman"/>
          <w:sz w:val="24"/>
          <w:szCs w:val="24"/>
          <w:lang w:val="en-US"/>
        </w:rPr>
        <w:t>Access and review a copy of the SEC study: “</w:t>
      </w:r>
      <w:r w:rsidRPr="000521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Study Pursuant to Section 108(d) of the Sarbanes-Oxley Act of 2002 on the Adoption by the United States Financial Reporting System of a Principles-Based Accounting System.”</w:t>
      </w:r>
      <w:r w:rsidRPr="000521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Write an example of a rules-based vs. principles-based accounting standard.  Prepare a brief summary of the recommendations that the SEC proposed to improve the standard setting process in the U.S.</w:t>
      </w:r>
    </w:p>
    <w:p w:rsidR="00676631" w:rsidRPr="00052115" w:rsidRDefault="00676631" w:rsidP="00052115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676631" w:rsidRPr="000521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201F"/>
    <w:multiLevelType w:val="hybridMultilevel"/>
    <w:tmpl w:val="3174A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114"/>
    <w:multiLevelType w:val="hybridMultilevel"/>
    <w:tmpl w:val="AAA4C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94EA1"/>
    <w:multiLevelType w:val="hybridMultilevel"/>
    <w:tmpl w:val="5D18C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31"/>
    <w:rsid w:val="000366F9"/>
    <w:rsid w:val="00052115"/>
    <w:rsid w:val="00274C97"/>
    <w:rsid w:val="002D160D"/>
    <w:rsid w:val="003B0461"/>
    <w:rsid w:val="003D7377"/>
    <w:rsid w:val="00527A62"/>
    <w:rsid w:val="00676631"/>
    <w:rsid w:val="00723DAA"/>
    <w:rsid w:val="00740CCA"/>
    <w:rsid w:val="0078478A"/>
    <w:rsid w:val="00A96BAD"/>
    <w:rsid w:val="00C67740"/>
    <w:rsid w:val="00FC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322E43-37F3-4AFA-A13C-DF5512D6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8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1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VPW Systems (UK) Ltd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Morgan</dc:creator>
  <cp:keywords/>
  <dc:description/>
  <cp:lastModifiedBy>Greg Burton</cp:lastModifiedBy>
  <cp:revision>2</cp:revision>
  <dcterms:created xsi:type="dcterms:W3CDTF">2016-01-21T22:55:00Z</dcterms:created>
  <dcterms:modified xsi:type="dcterms:W3CDTF">2016-01-21T22:55:00Z</dcterms:modified>
</cp:coreProperties>
</file>